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8" w:rsidRPr="00520416" w:rsidRDefault="003D27DE" w:rsidP="00761618">
      <w:pPr>
        <w:spacing w:line="240" w:lineRule="auto"/>
        <w:rPr>
          <w:rFonts w:ascii="Arial Black" w:hAnsi="Arial Black"/>
          <w:lang w:val="fr-CA"/>
        </w:rPr>
      </w:pPr>
      <w:r w:rsidRPr="00520416">
        <w:rPr>
          <w:rFonts w:ascii="Arial Black" w:hAnsi="Arial Black"/>
          <w:lang w:val="fr-CA"/>
        </w:rPr>
        <w:t>INSTRUCTION</w:t>
      </w:r>
      <w:r w:rsidR="00761618" w:rsidRPr="00520416">
        <w:rPr>
          <w:rFonts w:ascii="Arial Black" w:hAnsi="Arial Black"/>
          <w:lang w:val="fr-CA"/>
        </w:rPr>
        <w:t xml:space="preserve"> </w:t>
      </w:r>
      <w:r w:rsidR="009E0FA0" w:rsidRPr="00520416">
        <w:rPr>
          <w:rFonts w:ascii="Arial Black" w:hAnsi="Arial Black"/>
          <w:lang w:val="fr-CA"/>
        </w:rPr>
        <w:t xml:space="preserve"> </w:t>
      </w:r>
      <w:r w:rsidR="009E0FA0" w:rsidRPr="00520416">
        <w:rPr>
          <w:rFonts w:ascii="Arial Black" w:hAnsi="Arial Black"/>
          <w:noProof/>
          <w:lang w:val="fr-CA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-233045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A1A" w:rsidRPr="00520416">
        <w:rPr>
          <w:rFonts w:ascii="Arial Black" w:hAnsi="Arial Black"/>
          <w:lang w:val="fr-CA"/>
        </w:rPr>
        <w:t>12</w:t>
      </w:r>
      <w:r w:rsidR="009E0FA0" w:rsidRPr="00520416">
        <w:rPr>
          <w:rFonts w:ascii="Arial Black" w:hAnsi="Arial Black"/>
          <w:lang w:val="fr-CA"/>
        </w:rPr>
        <w:t>.</w:t>
      </w:r>
    </w:p>
    <w:p w:rsidR="001F755E" w:rsidRPr="00520416" w:rsidRDefault="003D27DE" w:rsidP="00761618">
      <w:pPr>
        <w:spacing w:line="240" w:lineRule="auto"/>
        <w:rPr>
          <w:rFonts w:ascii="Arial Black" w:hAnsi="Arial Black"/>
          <w:color w:val="7030A0"/>
          <w:lang w:val="fr-CA"/>
        </w:rPr>
      </w:pPr>
      <w:r w:rsidRPr="00520416">
        <w:rPr>
          <w:rFonts w:ascii="Arial Black" w:hAnsi="Arial Black"/>
          <w:color w:val="7030A0"/>
          <w:lang w:val="fr-CA"/>
        </w:rPr>
        <w:t>JONCTION LONGITUDINALE DES MEMBRANES DE PRÉ-</w:t>
      </w:r>
      <w:r w:rsidR="00520416" w:rsidRPr="00520416">
        <w:rPr>
          <w:rFonts w:ascii="Arial Black" w:hAnsi="Arial Black"/>
          <w:color w:val="7030A0"/>
          <w:lang w:val="fr-CA"/>
        </w:rPr>
        <w:t>REVÊTEMENT (MWK)</w:t>
      </w:r>
    </w:p>
    <w:p w:rsidR="00761618" w:rsidRPr="00520416" w:rsidRDefault="003D27DE" w:rsidP="0044206D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Connexions longitudinales des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bandes des</w:t>
      </w:r>
      <w:r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membranes hautement perméables à la vapeur d’</w:t>
      </w:r>
      <w:r w:rsidR="00940756"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eau utilisées co</w:t>
      </w:r>
      <w:r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mme membranes de pré-</w:t>
      </w:r>
      <w:r w:rsidR="00520416"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revêtement, ci</w:t>
      </w:r>
      <w:r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-après nommées </w:t>
      </w:r>
      <w:r w:rsid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« </w:t>
      </w:r>
      <w:r w:rsidR="007F538D"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MWK</w:t>
      </w:r>
      <w:r w:rsid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 »</w:t>
      </w:r>
      <w:r w:rsidR="00AA1339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,</w:t>
      </w:r>
      <w:r w:rsidR="00303DB5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94075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posées sur les poutres de la</w:t>
      </w: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toiture, doivent</w:t>
      </w: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être </w:t>
      </w:r>
      <w:r w:rsidR="0094075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effectué</w:t>
      </w: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soit sur des chevrons du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toit,</w:t>
      </w: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soit </w:t>
      </w:r>
      <w:r w:rsidR="0094075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avant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les poser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,</w:t>
      </w:r>
      <w:r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sur une zone plane et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propre. Il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existe de nombreuses méthodes pour mettre en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œuvre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de telles connexions, mais 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il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est toujours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nécessaire de 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vous assurer que les bandes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combinées ne se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séparent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pas sous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action 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des forces longitudinales causées par le vent et la pluie après la pose </w:t>
      </w:r>
      <w:r w:rsidR="00520416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 MWK</w:t>
      </w:r>
      <w:r w:rsidR="00520416" w:rsidRPr="00520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, avant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841E10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et </w:t>
      </w:r>
      <w:r w:rsidR="00F06284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pendant la pose de la toiture. </w:t>
      </w:r>
      <w:r w:rsidR="0044206D" w:rsidRPr="00520416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</w:p>
    <w:p w:rsidR="00572655" w:rsidRPr="00520416" w:rsidRDefault="007E514D" w:rsidP="004D1564">
      <w:pPr>
        <w:spacing w:line="240" w:lineRule="auto"/>
        <w:jc w:val="both"/>
        <w:rPr>
          <w:rFonts w:ascii="Arial" w:hAnsi="Arial" w:cs="Arial"/>
          <w:b/>
          <w:color w:val="000000"/>
          <w:shd w:val="clear" w:color="auto" w:fill="FFFFFF"/>
          <w:lang w:val="fr-CA"/>
        </w:rPr>
      </w:pPr>
      <w:r w:rsidRPr="00520416">
        <w:rPr>
          <w:rFonts w:ascii="Arial" w:hAnsi="Arial" w:cs="Arial"/>
          <w:b/>
          <w:noProof/>
          <w:color w:val="000000"/>
          <w:lang w:val="fr-CA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1671955</wp:posOffset>
            </wp:positionV>
            <wp:extent cx="2902585" cy="2078990"/>
            <wp:effectExtent l="19050" t="19050" r="12065" b="16510"/>
            <wp:wrapSquare wrapText="bothSides"/>
            <wp:docPr id="1" name="Obraz 0" descr="Rys.1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do instr. 16.tif"/>
                    <pic:cNvPicPr/>
                  </pic:nvPicPr>
                  <pic:blipFill>
                    <a:blip r:embed="rId9" cstate="print"/>
                    <a:srcRect l="6916" t="10973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078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20416">
        <w:rPr>
          <w:rFonts w:ascii="Arial" w:hAnsi="Arial" w:cs="Arial"/>
          <w:b/>
          <w:color w:val="000000"/>
          <w:shd w:val="clear" w:color="auto" w:fill="FFFFFF"/>
          <w:lang w:val="fr-CA"/>
        </w:rPr>
        <w:t>Méthodes</w:t>
      </w:r>
      <w:r w:rsidR="00520416" w:rsidRPr="00520416">
        <w:rPr>
          <w:rFonts w:ascii="Arial" w:hAnsi="Arial" w:cs="Arial"/>
          <w:b/>
          <w:color w:val="000000"/>
          <w:shd w:val="clear" w:color="auto" w:fill="FFFFFF"/>
          <w:lang w:val="fr-CA"/>
        </w:rPr>
        <w:t xml:space="preserve"> recommandées</w:t>
      </w:r>
      <w:r w:rsidR="00841E10" w:rsidRPr="00520416">
        <w:rPr>
          <w:rFonts w:ascii="Arial" w:hAnsi="Arial" w:cs="Arial"/>
          <w:b/>
          <w:color w:val="000000"/>
          <w:shd w:val="clear" w:color="auto" w:fill="FFFFFF"/>
          <w:lang w:val="fr-CA"/>
        </w:rPr>
        <w:t xml:space="preserve"> de se connecter sur des chevrons</w:t>
      </w:r>
      <w:r w:rsidR="00572655" w:rsidRPr="00520416">
        <w:rPr>
          <w:rFonts w:ascii="Arial" w:hAnsi="Arial" w:cs="Arial"/>
          <w:b/>
          <w:color w:val="000000"/>
          <w:shd w:val="clear" w:color="auto" w:fill="FFFFFF"/>
          <w:lang w:val="fr-CA"/>
        </w:rPr>
        <w:t>.</w:t>
      </w:r>
    </w:p>
    <w:p w:rsidR="00572655" w:rsidRPr="00520416" w:rsidRDefault="00520416" w:rsidP="005726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>Connexions simples</w:t>
      </w:r>
      <w:r w:rsidR="00841E10" w:rsidRPr="00520416">
        <w:rPr>
          <w:rFonts w:ascii="Arial" w:hAnsi="Arial" w:cs="Arial"/>
          <w:sz w:val="20"/>
          <w:szCs w:val="20"/>
          <w:lang w:val="fr-CA"/>
        </w:rPr>
        <w:t xml:space="preserve">, sur </w:t>
      </w:r>
      <w:r w:rsidRPr="00520416">
        <w:rPr>
          <w:rFonts w:ascii="Arial" w:hAnsi="Arial" w:cs="Arial"/>
          <w:sz w:val="20"/>
          <w:szCs w:val="20"/>
          <w:lang w:val="fr-CA"/>
        </w:rPr>
        <w:t>une petite superposition</w:t>
      </w:r>
      <w:r w:rsidR="00841E10" w:rsidRPr="00520416">
        <w:rPr>
          <w:rFonts w:ascii="Arial" w:hAnsi="Arial" w:cs="Arial"/>
          <w:sz w:val="20"/>
          <w:szCs w:val="20"/>
          <w:lang w:val="fr-CA"/>
        </w:rPr>
        <w:t xml:space="preserve"> avec des agrafes </w:t>
      </w:r>
      <w:r w:rsidRPr="00520416">
        <w:rPr>
          <w:rFonts w:ascii="Arial" w:hAnsi="Arial" w:cs="Arial"/>
          <w:sz w:val="20"/>
          <w:szCs w:val="20"/>
          <w:lang w:val="fr-CA"/>
        </w:rPr>
        <w:t>nécessite</w:t>
      </w:r>
      <w:r w:rsidR="00841E10" w:rsidRPr="00520416">
        <w:rPr>
          <w:rFonts w:ascii="Arial" w:hAnsi="Arial" w:cs="Arial"/>
          <w:sz w:val="20"/>
          <w:szCs w:val="20"/>
          <w:lang w:val="fr-CA"/>
        </w:rPr>
        <w:t xml:space="preserve"> toujours l’</w:t>
      </w:r>
      <w:r w:rsidR="001D073F" w:rsidRPr="00520416">
        <w:rPr>
          <w:rFonts w:ascii="Arial" w:hAnsi="Arial" w:cs="Arial"/>
          <w:sz w:val="20"/>
          <w:szCs w:val="20"/>
          <w:lang w:val="fr-CA"/>
        </w:rPr>
        <w:t xml:space="preserve">utilisation 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des bandes </w:t>
      </w:r>
      <w:r w:rsidRPr="00520416">
        <w:rPr>
          <w:rFonts w:ascii="Arial" w:hAnsi="Arial" w:cs="Arial"/>
          <w:sz w:val="20"/>
          <w:szCs w:val="20"/>
          <w:lang w:val="fr-CA"/>
        </w:rPr>
        <w:t>d’étanchéité :</w:t>
      </w:r>
      <w:r w:rsidR="00572655" w:rsidRPr="00520416">
        <w:rPr>
          <w:rFonts w:ascii="Arial" w:hAnsi="Arial" w:cs="Arial"/>
          <w:sz w:val="20"/>
          <w:szCs w:val="20"/>
          <w:lang w:val="fr-CA"/>
        </w:rPr>
        <w:t xml:space="preserve"> a) 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adhésif double </w:t>
      </w:r>
      <w:r w:rsidRPr="00520416">
        <w:rPr>
          <w:rFonts w:ascii="Arial" w:hAnsi="Arial" w:cs="Arial"/>
          <w:sz w:val="20"/>
          <w:szCs w:val="20"/>
          <w:lang w:val="fr-CA"/>
        </w:rPr>
        <w:t>face (</w:t>
      </w:r>
      <w:r w:rsidR="00B91B33" w:rsidRPr="00520416">
        <w:rPr>
          <w:rFonts w:ascii="Arial" w:hAnsi="Arial" w:cs="Arial"/>
          <w:sz w:val="20"/>
          <w:szCs w:val="20"/>
          <w:lang w:val="fr-CA"/>
        </w:rPr>
        <w:t xml:space="preserve">Marma N2) </w:t>
      </w:r>
      <w:r w:rsidR="001D073F" w:rsidRPr="00520416">
        <w:rPr>
          <w:rFonts w:ascii="Arial" w:hAnsi="Arial" w:cs="Arial"/>
          <w:sz w:val="20"/>
          <w:szCs w:val="20"/>
          <w:lang w:val="fr-CA"/>
        </w:rPr>
        <w:t>placé dans la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 superposition entre les bandes combinées </w:t>
      </w:r>
      <w:r w:rsidR="009F0497" w:rsidRPr="00520416">
        <w:rPr>
          <w:rFonts w:ascii="Arial" w:hAnsi="Arial" w:cs="Arial"/>
          <w:sz w:val="20"/>
          <w:szCs w:val="20"/>
          <w:lang w:val="fr-CA"/>
        </w:rPr>
        <w:t>(</w:t>
      </w:r>
      <w:r w:rsidR="00FD151F" w:rsidRPr="00520416">
        <w:rPr>
          <w:rFonts w:ascii="Arial" w:hAnsi="Arial" w:cs="Arial"/>
          <w:sz w:val="20"/>
          <w:szCs w:val="20"/>
          <w:lang w:val="fr-CA"/>
        </w:rPr>
        <w:t>fig</w:t>
      </w:r>
      <w:r w:rsidR="009F0497" w:rsidRPr="00520416">
        <w:rPr>
          <w:rFonts w:ascii="Arial" w:hAnsi="Arial" w:cs="Arial"/>
          <w:sz w:val="20"/>
          <w:szCs w:val="20"/>
          <w:lang w:val="fr-CA"/>
        </w:rPr>
        <w:t>.1)</w:t>
      </w:r>
      <w:r w:rsidR="00572655" w:rsidRPr="00520416">
        <w:rPr>
          <w:rFonts w:ascii="Arial" w:hAnsi="Arial" w:cs="Arial"/>
          <w:sz w:val="20"/>
          <w:szCs w:val="20"/>
          <w:lang w:val="fr-CA"/>
        </w:rPr>
        <w:t xml:space="preserve">; b) 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du ruban d’étanchéité </w:t>
      </w:r>
      <w:r w:rsidRPr="00520416">
        <w:rPr>
          <w:rFonts w:ascii="Arial" w:hAnsi="Arial" w:cs="Arial"/>
          <w:sz w:val="20"/>
          <w:szCs w:val="20"/>
          <w:lang w:val="fr-CA"/>
        </w:rPr>
        <w:t>celé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 sous le contre-latte ta</w:t>
      </w:r>
      <w:r w:rsidR="00B91B33" w:rsidRPr="00520416">
        <w:rPr>
          <w:rFonts w:ascii="Arial" w:hAnsi="Arial" w:cs="Arial"/>
          <w:sz w:val="20"/>
          <w:szCs w:val="20"/>
          <w:lang w:val="fr-CA"/>
        </w:rPr>
        <w:t xml:space="preserve"> (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Marma K1 </w:t>
      </w:r>
      <w:r w:rsidR="00FD151F" w:rsidRPr="00520416">
        <w:rPr>
          <w:rFonts w:ascii="Arial" w:hAnsi="Arial" w:cs="Arial"/>
          <w:sz w:val="20"/>
          <w:szCs w:val="20"/>
          <w:lang w:val="fr-CA"/>
        </w:rPr>
        <w:t>–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FD151F" w:rsidRPr="00520416">
        <w:rPr>
          <w:rFonts w:ascii="Arial" w:hAnsi="Arial" w:cs="Arial"/>
          <w:sz w:val="20"/>
          <w:szCs w:val="20"/>
          <w:lang w:val="fr-CA"/>
        </w:rPr>
        <w:t>puis sans ou avec un ruban double</w:t>
      </w:r>
      <w:r w:rsidR="001D073F" w:rsidRPr="00520416">
        <w:rPr>
          <w:rFonts w:ascii="Arial" w:hAnsi="Arial" w:cs="Arial"/>
          <w:sz w:val="20"/>
          <w:szCs w:val="20"/>
          <w:lang w:val="fr-CA"/>
        </w:rPr>
        <w:t>-</w:t>
      </w:r>
      <w:r w:rsidR="00FD151F" w:rsidRPr="00520416">
        <w:rPr>
          <w:rFonts w:ascii="Arial" w:hAnsi="Arial" w:cs="Arial"/>
          <w:sz w:val="20"/>
          <w:szCs w:val="20"/>
          <w:lang w:val="fr-CA"/>
        </w:rPr>
        <w:t xml:space="preserve"> face </w:t>
      </w:r>
      <w:r w:rsidRPr="00520416">
        <w:rPr>
          <w:rFonts w:ascii="Arial" w:hAnsi="Arial" w:cs="Arial"/>
          <w:sz w:val="20"/>
          <w:szCs w:val="20"/>
          <w:lang w:val="fr-CA"/>
        </w:rPr>
        <w:t>adhésif)</w:t>
      </w:r>
      <w:r w:rsidR="00572655" w:rsidRPr="00520416">
        <w:rPr>
          <w:rFonts w:ascii="Arial" w:hAnsi="Arial" w:cs="Arial"/>
          <w:sz w:val="20"/>
          <w:szCs w:val="20"/>
          <w:lang w:val="fr-CA"/>
        </w:rPr>
        <w:t>.</w:t>
      </w:r>
    </w:p>
    <w:p w:rsidR="007E514D" w:rsidRPr="00520416" w:rsidRDefault="00FD151F" w:rsidP="005726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>Pour un</w:t>
      </w:r>
      <w:r w:rsidR="001D073F" w:rsidRPr="00520416">
        <w:rPr>
          <w:rFonts w:ascii="Arial" w:hAnsi="Arial" w:cs="Arial"/>
          <w:sz w:val="20"/>
          <w:szCs w:val="20"/>
          <w:lang w:val="fr-CA"/>
        </w:rPr>
        <w:t>e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superposition large avec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dégagement (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c’est le moyen le plus simple et le plus sûr de se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connecter -</w:t>
      </w:r>
      <w:r w:rsidR="004A001A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A0357C" w:rsidRPr="00520416">
        <w:rPr>
          <w:rFonts w:ascii="Arial" w:hAnsi="Arial" w:cs="Arial"/>
          <w:sz w:val="20"/>
          <w:szCs w:val="20"/>
          <w:lang w:val="fr-CA"/>
        </w:rPr>
        <w:t>fig.</w:t>
      </w:r>
      <w:r w:rsidR="004A001A" w:rsidRPr="00520416">
        <w:rPr>
          <w:rFonts w:ascii="Arial" w:hAnsi="Arial" w:cs="Arial"/>
          <w:sz w:val="20"/>
          <w:szCs w:val="20"/>
          <w:lang w:val="fr-CA"/>
        </w:rPr>
        <w:t>.2 i 3</w:t>
      </w:r>
      <w:r w:rsidR="00572655" w:rsidRPr="00520416">
        <w:rPr>
          <w:rFonts w:ascii="Arial" w:hAnsi="Arial" w:cs="Arial"/>
          <w:sz w:val="20"/>
          <w:szCs w:val="20"/>
          <w:lang w:val="fr-CA"/>
        </w:rPr>
        <w:t>).</w:t>
      </w:r>
      <w:r w:rsidR="00B91B33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A0357C" w:rsidRPr="00520416">
        <w:rPr>
          <w:rFonts w:ascii="Arial" w:hAnsi="Arial" w:cs="Arial"/>
          <w:sz w:val="20"/>
          <w:szCs w:val="20"/>
          <w:lang w:val="fr-CA"/>
        </w:rPr>
        <w:t xml:space="preserve">Dans ce procédé on peut également utiliser un ruban adhésif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double</w:t>
      </w:r>
      <w:r w:rsidR="00A0357C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face (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Marma N2) </w:t>
      </w:r>
      <w:r w:rsidR="007E514D" w:rsidRPr="00520416">
        <w:rPr>
          <w:rFonts w:ascii="Arial" w:hAnsi="Arial" w:cs="Arial"/>
          <w:sz w:val="20"/>
          <w:szCs w:val="20"/>
          <w:lang w:val="fr-CA"/>
        </w:rPr>
        <w:t xml:space="preserve">                                    </w:t>
      </w:r>
      <w:r w:rsidR="00A0357C" w:rsidRPr="00520416">
        <w:rPr>
          <w:rFonts w:ascii="Arial" w:hAnsi="Arial" w:cs="Arial"/>
          <w:sz w:val="20"/>
          <w:szCs w:val="20"/>
          <w:lang w:val="fr-CA"/>
        </w:rPr>
        <w:t>fig.</w:t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>.1</w:t>
      </w:r>
    </w:p>
    <w:p w:rsidR="007E514D" w:rsidRPr="00520416" w:rsidRDefault="007E514D" w:rsidP="007E514D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noProof/>
          <w:sz w:val="20"/>
          <w:szCs w:val="20"/>
          <w:lang w:val="fr-CA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2614930</wp:posOffset>
            </wp:positionH>
            <wp:positionV relativeFrom="margin">
              <wp:posOffset>4186555</wp:posOffset>
            </wp:positionV>
            <wp:extent cx="3227070" cy="1987550"/>
            <wp:effectExtent l="19050" t="19050" r="11430" b="12700"/>
            <wp:wrapSquare wrapText="bothSides"/>
            <wp:docPr id="3" name="Obraz 2" descr="Rys.3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do instr. 16.tif"/>
                    <pic:cNvPicPr/>
                  </pic:nvPicPr>
                  <pic:blipFill>
                    <a:blip r:embed="rId10" cstate="print"/>
                    <a:srcRect t="35145" r="20958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87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520416">
        <w:rPr>
          <w:rFonts w:ascii="Arial" w:hAnsi="Arial" w:cs="Arial"/>
          <w:noProof/>
          <w:sz w:val="20"/>
          <w:szCs w:val="20"/>
          <w:lang w:val="fr-CA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4186555</wp:posOffset>
            </wp:positionV>
            <wp:extent cx="2324100" cy="1986915"/>
            <wp:effectExtent l="19050" t="19050" r="19050" b="13335"/>
            <wp:wrapSquare wrapText="bothSides"/>
            <wp:docPr id="2" name="Obraz 1" descr="Rys.2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do instr. 16.tif"/>
                    <pic:cNvPicPr/>
                  </pic:nvPicPr>
                  <pic:blipFill>
                    <a:blip r:embed="rId11" cstate="print"/>
                    <a:srcRect t="3937" r="18343" b="315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86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0357C" w:rsidRPr="00520416">
        <w:rPr>
          <w:rFonts w:ascii="Arial" w:hAnsi="Arial" w:cs="Arial"/>
          <w:sz w:val="20"/>
          <w:szCs w:val="20"/>
          <w:lang w:val="fr-CA"/>
        </w:rPr>
        <w:t>ou bande d’étanchéité contre- latte</w:t>
      </w:r>
      <w:r w:rsidR="00B91B33" w:rsidRPr="00520416">
        <w:rPr>
          <w:rFonts w:ascii="Arial" w:hAnsi="Arial" w:cs="Arial"/>
          <w:sz w:val="20"/>
          <w:szCs w:val="20"/>
          <w:lang w:val="fr-CA"/>
        </w:rPr>
        <w:t xml:space="preserve"> (Marma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B91B33" w:rsidRPr="00520416">
        <w:rPr>
          <w:rFonts w:ascii="Arial" w:hAnsi="Arial" w:cs="Arial"/>
          <w:sz w:val="20"/>
          <w:szCs w:val="20"/>
          <w:lang w:val="fr-CA"/>
        </w:rPr>
        <w:t>K1)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.  </w:t>
      </w:r>
    </w:p>
    <w:p w:rsidR="009F0497" w:rsidRPr="00520416" w:rsidRDefault="00A0357C" w:rsidP="00E83163">
      <w:pPr>
        <w:pStyle w:val="ListParagraph"/>
        <w:spacing w:line="240" w:lineRule="auto"/>
        <w:ind w:left="1428" w:firstLine="696"/>
        <w:jc w:val="both"/>
        <w:rPr>
          <w:rFonts w:ascii="Arial" w:hAnsi="Arial" w:cs="Arial"/>
          <w:b/>
          <w:sz w:val="18"/>
          <w:szCs w:val="18"/>
          <w:lang w:val="fr-CA"/>
        </w:rPr>
      </w:pPr>
      <w:r w:rsidRPr="00520416">
        <w:rPr>
          <w:rFonts w:ascii="Arial" w:hAnsi="Arial" w:cs="Arial"/>
          <w:b/>
          <w:sz w:val="18"/>
          <w:szCs w:val="18"/>
          <w:lang w:val="fr-CA"/>
        </w:rPr>
        <w:t>fig</w:t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>.2</w:t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Pr="00520416">
        <w:rPr>
          <w:rFonts w:ascii="Arial" w:hAnsi="Arial" w:cs="Arial"/>
          <w:b/>
          <w:sz w:val="18"/>
          <w:szCs w:val="18"/>
          <w:lang w:val="fr-CA"/>
        </w:rPr>
        <w:t>fig</w:t>
      </w:r>
      <w:r w:rsidR="007E514D" w:rsidRPr="00520416">
        <w:rPr>
          <w:rFonts w:ascii="Arial" w:hAnsi="Arial" w:cs="Arial"/>
          <w:b/>
          <w:sz w:val="18"/>
          <w:szCs w:val="18"/>
          <w:lang w:val="fr-CA"/>
        </w:rPr>
        <w:t>.3</w:t>
      </w:r>
      <w:r w:rsidR="007E514D" w:rsidRPr="00520416">
        <w:rPr>
          <w:rFonts w:ascii="Arial" w:hAnsi="Arial" w:cs="Arial"/>
          <w:b/>
          <w:noProof/>
          <w:sz w:val="18"/>
          <w:szCs w:val="18"/>
          <w:lang w:val="fr-CA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2614930</wp:posOffset>
            </wp:positionH>
            <wp:positionV relativeFrom="margin">
              <wp:posOffset>6453505</wp:posOffset>
            </wp:positionV>
            <wp:extent cx="3227070" cy="1973580"/>
            <wp:effectExtent l="19050" t="19050" r="11430" b="26670"/>
            <wp:wrapSquare wrapText="bothSides"/>
            <wp:docPr id="4" name="Obraz 3" descr="Łaczenia gotow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1.tif"/>
                    <pic:cNvPicPr/>
                  </pic:nvPicPr>
                  <pic:blipFill>
                    <a:blip r:embed="rId12" cstate="print"/>
                    <a:srcRect l="4628" t="23802" r="7273" b="4350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73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A001A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4A001A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4A001A" w:rsidRPr="00520416">
        <w:rPr>
          <w:rFonts w:ascii="Arial" w:hAnsi="Arial" w:cs="Arial"/>
          <w:b/>
          <w:sz w:val="18"/>
          <w:szCs w:val="18"/>
          <w:lang w:val="fr-CA"/>
        </w:rPr>
        <w:tab/>
      </w:r>
      <w:r w:rsidR="004A001A" w:rsidRPr="00520416">
        <w:rPr>
          <w:rFonts w:ascii="Arial" w:hAnsi="Arial" w:cs="Arial"/>
          <w:b/>
          <w:sz w:val="18"/>
          <w:szCs w:val="18"/>
          <w:lang w:val="fr-CA"/>
        </w:rPr>
        <w:tab/>
      </w:r>
    </w:p>
    <w:p w:rsidR="004D1564" w:rsidRPr="00520416" w:rsidRDefault="00A0357C" w:rsidP="004D156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fr-CA"/>
        </w:rPr>
      </w:pPr>
      <w:r w:rsidRPr="00520416">
        <w:rPr>
          <w:rFonts w:ascii="Arial" w:hAnsi="Arial" w:cs="Arial"/>
          <w:b/>
          <w:sz w:val="18"/>
          <w:szCs w:val="18"/>
          <w:lang w:val="fr-CA"/>
        </w:rPr>
        <w:t>fig</w:t>
      </w:r>
      <w:r w:rsidR="004D1564" w:rsidRPr="00520416">
        <w:rPr>
          <w:rFonts w:ascii="Arial" w:hAnsi="Arial" w:cs="Arial"/>
          <w:b/>
          <w:sz w:val="18"/>
          <w:szCs w:val="18"/>
          <w:lang w:val="fr-CA"/>
        </w:rPr>
        <w:t>.4</w:t>
      </w: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E83163" w:rsidRPr="00520416" w:rsidRDefault="00E83163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</w:p>
    <w:p w:rsidR="004D1564" w:rsidRPr="00520416" w:rsidRDefault="00520416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  <w:r w:rsidRPr="00520416">
        <w:rPr>
          <w:rFonts w:ascii="Arial" w:hAnsi="Arial" w:cs="Arial"/>
          <w:b/>
          <w:lang w:val="fr-CA"/>
        </w:rPr>
        <w:t>Connexion préalablement préparée</w:t>
      </w:r>
      <w:r w:rsidR="00572655" w:rsidRPr="00520416">
        <w:rPr>
          <w:rFonts w:ascii="Arial" w:hAnsi="Arial" w:cs="Arial"/>
          <w:b/>
          <w:lang w:val="fr-CA"/>
        </w:rPr>
        <w:t xml:space="preserve"> </w:t>
      </w:r>
    </w:p>
    <w:p w:rsidR="00303DB5" w:rsidRPr="00520416" w:rsidRDefault="00E83163" w:rsidP="00572655">
      <w:p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b/>
          <w:noProof/>
          <w:sz w:val="18"/>
          <w:szCs w:val="18"/>
          <w:lang w:val="fr-CA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342900</wp:posOffset>
            </wp:positionV>
            <wp:extent cx="3713480" cy="2095500"/>
            <wp:effectExtent l="19050" t="19050" r="20320" b="19050"/>
            <wp:wrapSquare wrapText="bothSides"/>
            <wp:docPr id="5" name="Obraz 4" descr="Łaczenia gotow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3.tif"/>
                    <pic:cNvPicPr/>
                  </pic:nvPicPr>
                  <pic:blipFill>
                    <a:blip r:embed="rId13" cstate="print"/>
                    <a:srcRect l="3471" t="31076" r="13058" b="6112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095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0357C" w:rsidRPr="00520416">
        <w:rPr>
          <w:rFonts w:ascii="Arial" w:hAnsi="Arial" w:cs="Arial"/>
          <w:sz w:val="20"/>
          <w:szCs w:val="20"/>
          <w:lang w:val="fr-CA"/>
        </w:rPr>
        <w:t xml:space="preserve">Lors des conditions météorologiques défavorables ou lors de la construction, il est recommandé 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de combiner les bandes au sol ou sous le toit.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Pour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ce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faire, nous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utilisons des rubans adhésifs double-face ou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simples, ou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des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adhésifs (</w:t>
      </w:r>
      <w:r w:rsidR="00485243" w:rsidRPr="00520416">
        <w:rPr>
          <w:rFonts w:ascii="Arial" w:hAnsi="Arial" w:cs="Arial"/>
          <w:sz w:val="20"/>
          <w:szCs w:val="20"/>
          <w:lang w:val="fr-CA"/>
        </w:rPr>
        <w:t>fig</w:t>
      </w:r>
      <w:r w:rsidR="00B468EF" w:rsidRPr="00520416">
        <w:rPr>
          <w:rFonts w:ascii="Arial" w:hAnsi="Arial" w:cs="Arial"/>
          <w:sz w:val="20"/>
          <w:szCs w:val="20"/>
          <w:lang w:val="fr-CA"/>
        </w:rPr>
        <w:t xml:space="preserve">.4). </w:t>
      </w:r>
      <w:r w:rsidR="00DD44EE" w:rsidRPr="00520416">
        <w:rPr>
          <w:rFonts w:ascii="Arial" w:hAnsi="Arial" w:cs="Arial"/>
          <w:sz w:val="20"/>
          <w:szCs w:val="20"/>
          <w:lang w:val="fr-CA"/>
        </w:rPr>
        <w:t xml:space="preserve">Nous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relions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les bandes avec u</w:t>
      </w:r>
      <w:r w:rsidR="00DD44EE" w:rsidRPr="00520416">
        <w:rPr>
          <w:rFonts w:ascii="Arial" w:hAnsi="Arial" w:cs="Arial"/>
          <w:sz w:val="20"/>
          <w:szCs w:val="20"/>
          <w:lang w:val="fr-CA"/>
        </w:rPr>
        <w:t>ne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superposition d’environ 1 m de long, de sorte que pendant de l’étirage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de MWK</w:t>
      </w:r>
      <w:r w:rsidR="00B468EF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sur la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toiture,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ce</w:t>
      </w:r>
      <w:r w:rsidR="00DD44EE" w:rsidRPr="00520416">
        <w:rPr>
          <w:rFonts w:ascii="Arial" w:hAnsi="Arial" w:cs="Arial"/>
          <w:sz w:val="20"/>
          <w:szCs w:val="20"/>
          <w:lang w:val="fr-CA"/>
        </w:rPr>
        <w:t>tte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superposition être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pressée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par la contre-</w:t>
      </w:r>
      <w:r w:rsidR="00520416" w:rsidRPr="00520416">
        <w:rPr>
          <w:rFonts w:ascii="Arial" w:hAnsi="Arial" w:cs="Arial"/>
          <w:sz w:val="20"/>
          <w:szCs w:val="20"/>
          <w:lang w:val="fr-CA"/>
        </w:rPr>
        <w:t>latte (</w:t>
      </w:r>
      <w:r w:rsidR="00485243" w:rsidRPr="00520416">
        <w:rPr>
          <w:rFonts w:ascii="Arial" w:hAnsi="Arial" w:cs="Arial"/>
          <w:sz w:val="20"/>
          <w:szCs w:val="20"/>
          <w:lang w:val="fr-CA"/>
        </w:rPr>
        <w:t>fig</w:t>
      </w:r>
      <w:r w:rsidR="00B468EF" w:rsidRPr="00520416">
        <w:rPr>
          <w:rFonts w:ascii="Arial" w:hAnsi="Arial" w:cs="Arial"/>
          <w:sz w:val="20"/>
          <w:szCs w:val="20"/>
          <w:lang w:val="fr-CA"/>
        </w:rPr>
        <w:t>.5</w:t>
      </w:r>
      <w:r w:rsidR="00520416" w:rsidRPr="00520416">
        <w:rPr>
          <w:rFonts w:ascii="Arial" w:hAnsi="Arial" w:cs="Arial"/>
          <w:sz w:val="20"/>
          <w:szCs w:val="20"/>
          <w:lang w:val="fr-CA"/>
        </w:rPr>
        <w:t>), ou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dans les cas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extrêmes,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de deux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contre-lattes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(avec</w:t>
      </w:r>
      <w:r w:rsidR="00485243" w:rsidRPr="00520416">
        <w:rPr>
          <w:rFonts w:ascii="Arial" w:hAnsi="Arial" w:cs="Arial"/>
          <w:sz w:val="20"/>
          <w:szCs w:val="20"/>
          <w:lang w:val="fr-CA"/>
        </w:rPr>
        <w:t xml:space="preserve"> un plus petit espacement des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chevrons)</w:t>
      </w:r>
      <w:r w:rsidR="00B468EF" w:rsidRPr="00520416">
        <w:rPr>
          <w:rFonts w:ascii="Arial" w:hAnsi="Arial" w:cs="Arial"/>
          <w:sz w:val="20"/>
          <w:szCs w:val="20"/>
          <w:lang w:val="fr-CA"/>
        </w:rPr>
        <w:t xml:space="preserve">.  </w:t>
      </w:r>
    </w:p>
    <w:p w:rsidR="00B468EF" w:rsidRPr="00520416" w:rsidRDefault="00520416" w:rsidP="00572655">
      <w:pPr>
        <w:spacing w:line="240" w:lineRule="auto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b/>
          <w:sz w:val="18"/>
          <w:szCs w:val="18"/>
          <w:lang w:val="fr-CA"/>
        </w:rPr>
        <w:t>F</w:t>
      </w:r>
      <w:r w:rsidR="00E019E9" w:rsidRPr="00520416">
        <w:rPr>
          <w:rFonts w:ascii="Arial" w:hAnsi="Arial" w:cs="Arial"/>
          <w:b/>
          <w:sz w:val="18"/>
          <w:szCs w:val="18"/>
          <w:lang w:val="fr-CA"/>
        </w:rPr>
        <w:t xml:space="preserve">ig </w:t>
      </w:r>
      <w:r w:rsidR="002078BF" w:rsidRPr="00520416">
        <w:rPr>
          <w:rFonts w:ascii="Arial" w:hAnsi="Arial" w:cs="Arial"/>
          <w:b/>
          <w:sz w:val="18"/>
          <w:szCs w:val="18"/>
          <w:lang w:val="fr-CA"/>
        </w:rPr>
        <w:t>.5</w:t>
      </w:r>
    </w:p>
    <w:p w:rsidR="004D1564" w:rsidRPr="00520416" w:rsidRDefault="00322DC4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 xml:space="preserve">Il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est plus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pratique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est de réaliser une telle connexion avec des rubans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adhésifs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double-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face (</w:t>
      </w:r>
      <w:r w:rsidR="004D1564" w:rsidRPr="00520416">
        <w:rPr>
          <w:rFonts w:ascii="Arial" w:hAnsi="Arial" w:cs="Arial"/>
          <w:sz w:val="20"/>
          <w:szCs w:val="20"/>
          <w:lang w:val="fr-CA"/>
        </w:rPr>
        <w:t xml:space="preserve">Marma N2), 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car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il n’est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pas nécessaire de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tourner les bandes connectées,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comme</w:t>
      </w:r>
      <w:r w:rsidR="00DD44EE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lors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l’utilisation des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rubans adhésifs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unilatéraux,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 car un 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seul </w:t>
      </w:r>
      <w:r w:rsidR="00E019E9" w:rsidRPr="00520416">
        <w:rPr>
          <w:rFonts w:ascii="Arial" w:hAnsi="Arial" w:cs="Arial"/>
          <w:sz w:val="20"/>
          <w:szCs w:val="20"/>
          <w:lang w:val="fr-CA"/>
        </w:rPr>
        <w:t xml:space="preserve">ruban adhésif ne </w:t>
      </w:r>
      <w:r w:rsidRPr="00520416">
        <w:rPr>
          <w:rFonts w:ascii="Arial" w:hAnsi="Arial" w:cs="Arial"/>
          <w:sz w:val="20"/>
          <w:szCs w:val="20"/>
          <w:lang w:val="fr-CA"/>
        </w:rPr>
        <w:t>connecte gue sur un cô</w:t>
      </w:r>
      <w:r w:rsidR="00E019E9" w:rsidRPr="00520416">
        <w:rPr>
          <w:rFonts w:ascii="Arial" w:hAnsi="Arial" w:cs="Arial"/>
          <w:sz w:val="20"/>
          <w:szCs w:val="20"/>
          <w:lang w:val="fr-CA"/>
        </w:rPr>
        <w:t>té de la bande.</w:t>
      </w:r>
    </w:p>
    <w:p w:rsidR="00303DB5" w:rsidRPr="00520416" w:rsidRDefault="00A0357C" w:rsidP="00572655">
      <w:pPr>
        <w:spacing w:line="240" w:lineRule="auto"/>
        <w:jc w:val="both"/>
        <w:rPr>
          <w:rFonts w:ascii="Arial" w:hAnsi="Arial" w:cs="Arial"/>
          <w:b/>
          <w:lang w:val="fr-CA"/>
        </w:rPr>
      </w:pPr>
      <w:r w:rsidRPr="00520416">
        <w:rPr>
          <w:rFonts w:ascii="Arial" w:hAnsi="Arial" w:cs="Arial"/>
          <w:b/>
          <w:lang w:val="fr-CA"/>
        </w:rPr>
        <w:t xml:space="preserve">Connexion </w:t>
      </w:r>
      <w:r w:rsidR="00322DC4" w:rsidRPr="00520416">
        <w:rPr>
          <w:rFonts w:ascii="Arial" w:hAnsi="Arial" w:cs="Arial"/>
          <w:b/>
          <w:lang w:val="fr-CA"/>
        </w:rPr>
        <w:t xml:space="preserve">sur un substrat </w:t>
      </w:r>
      <w:r w:rsidR="00520416" w:rsidRPr="00520416">
        <w:rPr>
          <w:rFonts w:ascii="Arial" w:hAnsi="Arial" w:cs="Arial"/>
          <w:b/>
          <w:lang w:val="fr-CA"/>
        </w:rPr>
        <w:t>rigide –</w:t>
      </w:r>
      <w:r w:rsidR="00545F2E" w:rsidRPr="00520416">
        <w:rPr>
          <w:rFonts w:ascii="Arial" w:hAnsi="Arial" w:cs="Arial"/>
          <w:b/>
          <w:lang w:val="fr-CA"/>
        </w:rPr>
        <w:t xml:space="preserve"> </w:t>
      </w:r>
      <w:r w:rsidR="001D073F" w:rsidRPr="00520416">
        <w:rPr>
          <w:rFonts w:ascii="Arial" w:hAnsi="Arial" w:cs="Arial"/>
          <w:b/>
          <w:lang w:val="fr-CA"/>
        </w:rPr>
        <w:t xml:space="preserve">sur le </w:t>
      </w:r>
      <w:r w:rsidR="00520416" w:rsidRPr="00520416">
        <w:rPr>
          <w:rFonts w:ascii="Arial" w:hAnsi="Arial" w:cs="Arial"/>
          <w:b/>
          <w:lang w:val="fr-CA"/>
        </w:rPr>
        <w:t>contre-</w:t>
      </w:r>
      <w:r w:rsidR="00520416" w:rsidRPr="00520416">
        <w:rPr>
          <w:rFonts w:ascii="Arial" w:hAnsi="Arial" w:cs="Arial"/>
          <w:b/>
          <w:lang w:val="fr-CA"/>
        </w:rPr>
        <w:t>plaqué (coffrage, panneaux OSB</w:t>
      </w:r>
      <w:r w:rsidR="00545F2E" w:rsidRPr="00520416">
        <w:rPr>
          <w:rFonts w:ascii="Arial" w:hAnsi="Arial" w:cs="Arial"/>
          <w:b/>
          <w:lang w:val="fr-CA"/>
        </w:rPr>
        <w:t xml:space="preserve">, MFP </w:t>
      </w:r>
      <w:r w:rsidR="00520416" w:rsidRPr="00520416">
        <w:rPr>
          <w:rFonts w:ascii="Arial" w:hAnsi="Arial" w:cs="Arial"/>
          <w:b/>
          <w:lang w:val="fr-CA"/>
        </w:rPr>
        <w:t>etc.</w:t>
      </w:r>
      <w:r w:rsidR="00303DB5" w:rsidRPr="00520416">
        <w:rPr>
          <w:rFonts w:ascii="Arial" w:hAnsi="Arial" w:cs="Arial"/>
          <w:b/>
          <w:lang w:val="fr-CA"/>
        </w:rPr>
        <w:t xml:space="preserve">). </w:t>
      </w:r>
    </w:p>
    <w:p w:rsidR="002078BF" w:rsidRPr="00520416" w:rsidRDefault="00322DC4" w:rsidP="00572655">
      <w:p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>Les bandes doivent être connectées à un</w:t>
      </w:r>
      <w:r w:rsidR="00DD44EE" w:rsidRPr="00520416">
        <w:rPr>
          <w:rFonts w:ascii="Arial" w:hAnsi="Arial" w:cs="Arial"/>
          <w:sz w:val="20"/>
          <w:szCs w:val="20"/>
          <w:lang w:val="fr-CA"/>
        </w:rPr>
        <w:t>e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124EEF" w:rsidRPr="00520416">
        <w:rPr>
          <w:rFonts w:ascii="Arial" w:hAnsi="Arial" w:cs="Arial"/>
          <w:sz w:val="20"/>
          <w:szCs w:val="20"/>
          <w:lang w:val="fr-CA"/>
        </w:rPr>
        <w:t>superposition dont la longueur dépend de possible déviations de la planéité.</w:t>
      </w:r>
      <w:r w:rsidR="006F5984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Le minimum doit être de 50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cm, a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 lorsque la concavité au point de</w:t>
      </w:r>
      <w:r w:rsidR="00DD44EE" w:rsidRPr="00520416">
        <w:rPr>
          <w:rFonts w:ascii="Arial" w:hAnsi="Arial" w:cs="Arial"/>
          <w:sz w:val="20"/>
          <w:szCs w:val="20"/>
          <w:lang w:val="fr-CA"/>
        </w:rPr>
        <w:t xml:space="preserve"> connexion est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visible,</w:t>
      </w:r>
      <w:r w:rsidR="00DD44EE" w:rsidRPr="00520416">
        <w:rPr>
          <w:rFonts w:ascii="Arial" w:hAnsi="Arial" w:cs="Arial"/>
          <w:sz w:val="20"/>
          <w:szCs w:val="20"/>
          <w:lang w:val="fr-CA"/>
        </w:rPr>
        <w:t xml:space="preserve"> puis la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 superposition doit être plus grande.</w:t>
      </w:r>
      <w:r w:rsidR="006F5984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Les bandes son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relies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 à des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agrafes, de préférence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 de manière à être situées sous la superposition </w:t>
      </w:r>
      <w:r w:rsidR="006F5984" w:rsidRPr="00520416">
        <w:rPr>
          <w:rFonts w:ascii="Arial" w:hAnsi="Arial" w:cs="Arial"/>
          <w:sz w:val="20"/>
          <w:szCs w:val="20"/>
          <w:lang w:val="fr-CA"/>
        </w:rPr>
        <w:t>(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latérale ou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frontale)</w:t>
      </w:r>
      <w:r w:rsidR="00124EEF" w:rsidRPr="00520416">
        <w:rPr>
          <w:rFonts w:ascii="Arial" w:hAnsi="Arial" w:cs="Arial"/>
          <w:sz w:val="20"/>
          <w:szCs w:val="20"/>
          <w:lang w:val="fr-CA"/>
        </w:rPr>
        <w:t xml:space="preserve"> ou à des agrafes et ruban adhésifs double-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face (</w:t>
      </w:r>
      <w:r w:rsidR="006F5984" w:rsidRPr="00520416">
        <w:rPr>
          <w:rFonts w:ascii="Arial" w:hAnsi="Arial" w:cs="Arial"/>
          <w:sz w:val="20"/>
          <w:szCs w:val="20"/>
          <w:lang w:val="fr-CA"/>
        </w:rPr>
        <w:t>Marma N2)</w:t>
      </w:r>
    </w:p>
    <w:p w:rsidR="00545F2E" w:rsidRPr="00520416" w:rsidRDefault="00DD44EE" w:rsidP="00545F2E">
      <w:pPr>
        <w:spacing w:line="240" w:lineRule="auto"/>
        <w:jc w:val="both"/>
        <w:rPr>
          <w:rFonts w:ascii="Arial" w:hAnsi="Arial" w:cs="Arial"/>
          <w:b/>
          <w:lang w:val="fr-CA"/>
        </w:rPr>
      </w:pPr>
      <w:r w:rsidRPr="00520416">
        <w:rPr>
          <w:rFonts w:ascii="Arial" w:hAnsi="Arial" w:cs="Arial"/>
          <w:b/>
          <w:lang w:val="fr-CA"/>
        </w:rPr>
        <w:t xml:space="preserve">Connexion sur un substrat rigide – sur </w:t>
      </w:r>
      <w:r w:rsidR="00520416" w:rsidRPr="00520416">
        <w:rPr>
          <w:rFonts w:ascii="Arial" w:hAnsi="Arial" w:cs="Arial"/>
          <w:b/>
          <w:lang w:val="fr-CA"/>
        </w:rPr>
        <w:t>les panneaux PIR</w:t>
      </w:r>
      <w:r w:rsidR="00545F2E" w:rsidRPr="00520416">
        <w:rPr>
          <w:rFonts w:ascii="Arial" w:hAnsi="Arial" w:cs="Arial"/>
          <w:b/>
          <w:lang w:val="fr-CA"/>
        </w:rPr>
        <w:t xml:space="preserve">/PUR. </w:t>
      </w:r>
    </w:p>
    <w:p w:rsidR="00545F2E" w:rsidRPr="00520416" w:rsidRDefault="00DD44EE" w:rsidP="00545F2E">
      <w:p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>D</w:t>
      </w:r>
      <w:r w:rsidR="001D073F" w:rsidRPr="00520416">
        <w:rPr>
          <w:rFonts w:ascii="Arial" w:hAnsi="Arial" w:cs="Arial"/>
          <w:sz w:val="20"/>
          <w:szCs w:val="20"/>
          <w:lang w:val="fr-CA"/>
        </w:rPr>
        <w:t xml:space="preserve">e même que sur le </w:t>
      </w:r>
      <w:r w:rsidR="00520416">
        <w:rPr>
          <w:rFonts w:ascii="Arial" w:hAnsi="Arial" w:cs="Arial"/>
          <w:sz w:val="20"/>
          <w:szCs w:val="20"/>
          <w:lang w:val="fr-CA"/>
        </w:rPr>
        <w:t>contre-plaqué</w:t>
      </w:r>
      <w:bookmarkStart w:id="0" w:name="_GoBack"/>
      <w:bookmarkEnd w:id="0"/>
      <w:r w:rsidRPr="00520416">
        <w:rPr>
          <w:rFonts w:ascii="Arial" w:hAnsi="Arial" w:cs="Arial"/>
          <w:sz w:val="20"/>
          <w:szCs w:val="20"/>
          <w:lang w:val="fr-CA"/>
        </w:rPr>
        <w:t xml:space="preserve">, sur les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panneaux PIR</w:t>
      </w:r>
      <w:r w:rsidR="00C80C3D" w:rsidRPr="00520416">
        <w:rPr>
          <w:rFonts w:ascii="Arial" w:hAnsi="Arial" w:cs="Arial"/>
          <w:sz w:val="20"/>
          <w:szCs w:val="20"/>
          <w:lang w:val="fr-CA"/>
        </w:rPr>
        <w:t xml:space="preserve">/PUR 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les bandes doivent être connectées à une superposition dont la longueur dépend de possibles déviations de la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planéité,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mais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seulement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2427A8" w:rsidRPr="00520416">
        <w:rPr>
          <w:rFonts w:ascii="Arial" w:hAnsi="Arial" w:cs="Arial"/>
          <w:sz w:val="20"/>
          <w:szCs w:val="20"/>
          <w:lang w:val="fr-CA"/>
        </w:rPr>
        <w:t>avec des bandes auto-</w:t>
      </w:r>
      <w:r w:rsidR="00520416" w:rsidRPr="00520416">
        <w:rPr>
          <w:rFonts w:ascii="Arial" w:hAnsi="Arial" w:cs="Arial"/>
          <w:sz w:val="20"/>
          <w:szCs w:val="20"/>
          <w:lang w:val="fr-CA"/>
        </w:rPr>
        <w:t>adhésifs (</w:t>
      </w:r>
      <w:r w:rsidR="00E53D0E" w:rsidRPr="00520416">
        <w:rPr>
          <w:rFonts w:ascii="Arial" w:hAnsi="Arial" w:cs="Arial"/>
          <w:sz w:val="20"/>
          <w:szCs w:val="20"/>
          <w:lang w:val="fr-CA"/>
        </w:rPr>
        <w:t>Marma N2 Marma W1).</w:t>
      </w:r>
    </w:p>
    <w:p w:rsidR="00E53D0E" w:rsidRPr="00520416" w:rsidRDefault="002427A8" w:rsidP="00100EFF">
      <w:pPr>
        <w:spacing w:line="240" w:lineRule="auto"/>
        <w:jc w:val="center"/>
        <w:rPr>
          <w:rFonts w:ascii="Arial" w:hAnsi="Arial" w:cs="Arial"/>
          <w:b/>
          <w:lang w:val="fr-CA"/>
        </w:rPr>
      </w:pPr>
      <w:r w:rsidRPr="00520416">
        <w:rPr>
          <w:rFonts w:ascii="Arial" w:hAnsi="Arial" w:cs="Arial"/>
          <w:b/>
          <w:lang w:val="fr-CA"/>
        </w:rPr>
        <w:t xml:space="preserve">REMARQUES </w:t>
      </w:r>
    </w:p>
    <w:p w:rsidR="00100EFF" w:rsidRPr="00520416" w:rsidRDefault="002427A8" w:rsidP="00100EF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sz w:val="20"/>
          <w:szCs w:val="20"/>
          <w:lang w:val="fr-CA"/>
        </w:rPr>
        <w:t xml:space="preserve">Scellement des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raccords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frontaux ou latérales des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bandes MWK</w:t>
      </w:r>
      <w:r w:rsidR="00100EFF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doit être effectué conformément aux règles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déterminantes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les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classes de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fuite décrites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pour la toiture de l’Association des Couvreurs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Polonais,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basés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sur</w:t>
      </w:r>
      <w:r w:rsidRPr="00520416">
        <w:rPr>
          <w:rFonts w:ascii="Arial" w:hAnsi="Arial" w:cs="Arial"/>
          <w:sz w:val="20"/>
          <w:szCs w:val="20"/>
          <w:lang w:val="fr-CA"/>
        </w:rPr>
        <w:t xml:space="preserve"> les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recommandations IFD</w:t>
      </w:r>
      <w:r w:rsidR="00313A2A" w:rsidRPr="00520416">
        <w:rPr>
          <w:rFonts w:ascii="Arial" w:hAnsi="Arial" w:cs="Arial"/>
          <w:sz w:val="20"/>
          <w:szCs w:val="20"/>
          <w:lang w:val="fr-CA"/>
        </w:rPr>
        <w:t xml:space="preserve"> - </w:t>
      </w:r>
      <w:r w:rsidR="00100EFF" w:rsidRPr="00520416">
        <w:rPr>
          <w:rFonts w:ascii="Arial" w:hAnsi="Arial" w:cs="Arial"/>
          <w:sz w:val="20"/>
          <w:szCs w:val="20"/>
          <w:lang w:val="fr-CA"/>
        </w:rPr>
        <w:t xml:space="preserve">International </w:t>
      </w:r>
      <w:proofErr w:type="spellStart"/>
      <w:r w:rsidR="00100EFF" w:rsidRPr="00520416">
        <w:rPr>
          <w:rFonts w:ascii="Arial" w:hAnsi="Arial" w:cs="Arial"/>
          <w:sz w:val="20"/>
          <w:szCs w:val="20"/>
          <w:lang w:val="fr-CA"/>
        </w:rPr>
        <w:t>Federation</w:t>
      </w:r>
      <w:proofErr w:type="spellEnd"/>
      <w:r w:rsidR="00100EFF" w:rsidRPr="00520416">
        <w:rPr>
          <w:rFonts w:ascii="Arial" w:hAnsi="Arial" w:cs="Arial"/>
          <w:sz w:val="20"/>
          <w:szCs w:val="20"/>
          <w:lang w:val="fr-CA"/>
        </w:rPr>
        <w:t xml:space="preserve"> for the Roofing Trad.</w:t>
      </w:r>
    </w:p>
    <w:p w:rsidR="00100EFF" w:rsidRPr="00520416" w:rsidRDefault="00E83163" w:rsidP="00100EF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b/>
          <w:noProof/>
          <w:sz w:val="20"/>
          <w:szCs w:val="20"/>
          <w:lang w:val="fr-CA"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4291330</wp:posOffset>
            </wp:positionH>
            <wp:positionV relativeFrom="margin">
              <wp:posOffset>7796530</wp:posOffset>
            </wp:positionV>
            <wp:extent cx="1524000" cy="819150"/>
            <wp:effectExtent l="19050" t="0" r="0" b="0"/>
            <wp:wrapSquare wrapText="bothSides"/>
            <wp:docPr id="6" name="Obraz 1" descr="marma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7A8" w:rsidRPr="00520416">
        <w:rPr>
          <w:rFonts w:ascii="Arial" w:hAnsi="Arial" w:cs="Arial"/>
          <w:sz w:val="20"/>
          <w:szCs w:val="20"/>
          <w:lang w:val="fr-CA"/>
        </w:rPr>
        <w:t>L</w:t>
      </w:r>
      <w:r w:rsidR="001D073F" w:rsidRPr="00520416">
        <w:rPr>
          <w:rFonts w:ascii="Arial" w:hAnsi="Arial" w:cs="Arial"/>
          <w:sz w:val="20"/>
          <w:szCs w:val="20"/>
          <w:lang w:val="fr-CA"/>
        </w:rPr>
        <w:t>a méthode de ventilation de l’</w:t>
      </w:r>
      <w:r w:rsidR="002427A8" w:rsidRPr="00520416">
        <w:rPr>
          <w:rFonts w:ascii="Arial" w:hAnsi="Arial" w:cs="Arial"/>
          <w:sz w:val="20"/>
          <w:szCs w:val="20"/>
          <w:lang w:val="fr-CA"/>
        </w:rPr>
        <w:t xml:space="preserve">isolation thermique et de la construction du toit dépende de la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diffusion (</w:t>
      </w:r>
      <w:r w:rsidR="002427A8" w:rsidRPr="00520416">
        <w:rPr>
          <w:rFonts w:ascii="Arial" w:hAnsi="Arial" w:cs="Arial"/>
          <w:sz w:val="20"/>
          <w:szCs w:val="20"/>
          <w:lang w:val="fr-CA"/>
        </w:rPr>
        <w:t>de la capacité à laisser passer le vapeur d’eau</w:t>
      </w:r>
      <w:r w:rsidR="00100EFF" w:rsidRPr="00520416">
        <w:rPr>
          <w:rFonts w:ascii="Arial" w:hAnsi="Arial" w:cs="Arial"/>
          <w:sz w:val="20"/>
          <w:szCs w:val="20"/>
          <w:lang w:val="fr-CA"/>
        </w:rPr>
        <w:t xml:space="preserve">) </w:t>
      </w:r>
      <w:r w:rsidR="00E37F07" w:rsidRPr="00520416">
        <w:rPr>
          <w:rFonts w:ascii="Arial" w:hAnsi="Arial" w:cs="Arial"/>
          <w:sz w:val="20"/>
          <w:szCs w:val="20"/>
          <w:lang w:val="fr-CA"/>
        </w:rPr>
        <w:t xml:space="preserve">du substrat sur lequel est situé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MWK. Le</w:t>
      </w:r>
      <w:r w:rsidR="00E37F07" w:rsidRPr="00520416">
        <w:rPr>
          <w:rFonts w:ascii="Arial" w:hAnsi="Arial" w:cs="Arial"/>
          <w:sz w:val="20"/>
          <w:szCs w:val="20"/>
          <w:lang w:val="fr-CA"/>
        </w:rPr>
        <w:t xml:space="preserve"> montage de l’isolation thermi</w:t>
      </w:r>
      <w:r w:rsidR="001D073F" w:rsidRPr="00520416">
        <w:rPr>
          <w:rFonts w:ascii="Arial" w:hAnsi="Arial" w:cs="Arial"/>
          <w:sz w:val="20"/>
          <w:szCs w:val="20"/>
          <w:lang w:val="fr-CA"/>
        </w:rPr>
        <w:t xml:space="preserve">que sur le contact avec le </w:t>
      </w:r>
      <w:r w:rsidR="00520416">
        <w:rPr>
          <w:rFonts w:ascii="Arial" w:hAnsi="Arial" w:cs="Arial"/>
          <w:sz w:val="20"/>
          <w:szCs w:val="20"/>
          <w:lang w:val="fr-CA"/>
        </w:rPr>
        <w:t>contre-plaqué</w:t>
      </w:r>
      <w:r w:rsidR="00E37F07" w:rsidRPr="00520416">
        <w:rPr>
          <w:rFonts w:ascii="Arial" w:hAnsi="Arial" w:cs="Arial"/>
          <w:sz w:val="20"/>
          <w:szCs w:val="20"/>
          <w:lang w:val="fr-CA"/>
        </w:rPr>
        <w:t xml:space="preserve"> d’</w:t>
      </w:r>
      <w:r w:rsidR="00520416" w:rsidRPr="00520416">
        <w:rPr>
          <w:rFonts w:ascii="Arial" w:hAnsi="Arial" w:cs="Arial"/>
          <w:sz w:val="20"/>
          <w:szCs w:val="20"/>
          <w:lang w:val="fr-CA"/>
        </w:rPr>
        <w:t>étanchéité</w:t>
      </w:r>
      <w:r w:rsidR="00E37F07" w:rsidRPr="00520416">
        <w:rPr>
          <w:rFonts w:ascii="Arial" w:hAnsi="Arial" w:cs="Arial"/>
          <w:sz w:val="20"/>
          <w:szCs w:val="20"/>
          <w:lang w:val="fr-CA"/>
        </w:rPr>
        <w:t xml:space="preserve"> de   </w:t>
      </w:r>
      <w:r w:rsidR="003B07E9" w:rsidRPr="00520416">
        <w:rPr>
          <w:rFonts w:ascii="Arial" w:hAnsi="Arial" w:cs="Arial"/>
          <w:b/>
          <w:sz w:val="20"/>
          <w:szCs w:val="20"/>
          <w:lang w:val="fr-CA"/>
        </w:rPr>
        <w:t>MWK</w:t>
      </w:r>
      <w:r w:rsidR="003B07E9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E37F07" w:rsidRPr="00520416">
        <w:rPr>
          <w:rFonts w:ascii="Arial" w:hAnsi="Arial" w:cs="Arial"/>
          <w:sz w:val="20"/>
          <w:szCs w:val="20"/>
          <w:lang w:val="fr-CA"/>
        </w:rPr>
        <w:t>n’est pas possible que s’il est constitué de pann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eaux étroits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(d’une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 largeur maximale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de 11</w:t>
      </w:r>
      <w:r w:rsidR="00100EFF" w:rsidRPr="00520416">
        <w:rPr>
          <w:rFonts w:ascii="Arial" w:hAnsi="Arial" w:cs="Arial"/>
          <w:sz w:val="20"/>
          <w:szCs w:val="20"/>
          <w:lang w:val="fr-CA"/>
        </w:rPr>
        <w:t>cm)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 ou si les panneaux sont fixés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ajourés.</w:t>
      </w:r>
      <w:r w:rsidR="00C80C3D" w:rsidRPr="00520416">
        <w:rPr>
          <w:rFonts w:ascii="Arial" w:hAnsi="Arial" w:cs="Arial"/>
          <w:sz w:val="20"/>
          <w:szCs w:val="20"/>
          <w:lang w:val="fr-CA"/>
        </w:rPr>
        <w:t xml:space="preserve"> </w:t>
      </w:r>
      <w:r w:rsidR="00D150EE" w:rsidRPr="00520416">
        <w:rPr>
          <w:rFonts w:ascii="Arial" w:hAnsi="Arial" w:cs="Arial"/>
          <w:sz w:val="20"/>
          <w:szCs w:val="20"/>
          <w:lang w:val="fr-CA"/>
        </w:rPr>
        <w:t>Sur l</w:t>
      </w:r>
      <w:r w:rsidR="001D073F" w:rsidRPr="00520416">
        <w:rPr>
          <w:rFonts w:ascii="Arial" w:hAnsi="Arial" w:cs="Arial"/>
          <w:sz w:val="20"/>
          <w:szCs w:val="20"/>
          <w:lang w:val="fr-CA"/>
        </w:rPr>
        <w:t xml:space="preserve">e </w:t>
      </w:r>
      <w:r w:rsidR="00520416">
        <w:rPr>
          <w:rFonts w:ascii="Arial" w:hAnsi="Arial" w:cs="Arial"/>
          <w:sz w:val="20"/>
          <w:szCs w:val="20"/>
          <w:lang w:val="fr-CA"/>
        </w:rPr>
        <w:t>contre-plaqué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 avec </w:t>
      </w:r>
      <w:r w:rsidR="00520416" w:rsidRPr="00520416">
        <w:rPr>
          <w:rFonts w:ascii="Arial" w:hAnsi="Arial" w:cs="Arial"/>
          <w:sz w:val="20"/>
          <w:szCs w:val="20"/>
          <w:lang w:val="fr-CA"/>
        </w:rPr>
        <w:t>des propriétés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 par-</w:t>
      </w:r>
      <w:r w:rsidR="00520416" w:rsidRPr="00520416">
        <w:rPr>
          <w:rFonts w:ascii="Arial" w:hAnsi="Arial" w:cs="Arial"/>
          <w:sz w:val="20"/>
          <w:szCs w:val="20"/>
          <w:lang w:val="fr-CA"/>
        </w:rPr>
        <w:t>vapeur (panneau OSB</w:t>
      </w:r>
      <w:r w:rsidR="00D150EE" w:rsidRPr="00520416">
        <w:rPr>
          <w:rFonts w:ascii="Arial" w:hAnsi="Arial" w:cs="Arial"/>
          <w:sz w:val="20"/>
          <w:szCs w:val="20"/>
          <w:lang w:val="fr-CA"/>
        </w:rPr>
        <w:t xml:space="preserve"> MFP etc</w:t>
      </w:r>
      <w:r w:rsidR="00C80C3D" w:rsidRPr="00520416">
        <w:rPr>
          <w:rFonts w:ascii="Arial" w:hAnsi="Arial" w:cs="Arial"/>
          <w:sz w:val="20"/>
          <w:szCs w:val="20"/>
          <w:lang w:val="fr-CA"/>
        </w:rPr>
        <w:t xml:space="preserve">.) </w:t>
      </w:r>
      <w:r w:rsidR="00D150EE" w:rsidRPr="00520416">
        <w:rPr>
          <w:rFonts w:ascii="Arial" w:hAnsi="Arial" w:cs="Arial"/>
          <w:sz w:val="20"/>
          <w:szCs w:val="20"/>
          <w:lang w:val="fr-CA"/>
        </w:rPr>
        <w:t>l’espace entre ces panneaux et isolation thermique doit être ventilé,</w:t>
      </w:r>
    </w:p>
    <w:p w:rsidR="00991A1A" w:rsidRPr="00520416" w:rsidRDefault="00520416" w:rsidP="00991A1A">
      <w:pPr>
        <w:spacing w:line="240" w:lineRule="auto"/>
        <w:jc w:val="right"/>
        <w:rPr>
          <w:rFonts w:ascii="Arial" w:hAnsi="Arial" w:cs="Arial"/>
          <w:sz w:val="20"/>
          <w:szCs w:val="20"/>
          <w:lang w:val="fr-CA"/>
        </w:rPr>
      </w:pPr>
      <w:r w:rsidRPr="00520416">
        <w:rPr>
          <w:rFonts w:ascii="Arial" w:hAnsi="Arial" w:cs="Arial"/>
          <w:b/>
          <w:sz w:val="20"/>
          <w:szCs w:val="20"/>
          <w:lang w:val="fr-CA"/>
        </w:rPr>
        <w:t>I ’Instruction</w:t>
      </w:r>
      <w:r w:rsidR="001D073F" w:rsidRPr="00520416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520416">
        <w:rPr>
          <w:rFonts w:ascii="Arial" w:hAnsi="Arial" w:cs="Arial"/>
          <w:b/>
          <w:sz w:val="20"/>
          <w:szCs w:val="20"/>
          <w:lang w:val="fr-CA"/>
        </w:rPr>
        <w:t>à</w:t>
      </w:r>
      <w:r w:rsidR="001D073F" w:rsidRPr="00520416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520416">
        <w:rPr>
          <w:rFonts w:ascii="Arial" w:hAnsi="Arial" w:cs="Arial"/>
          <w:b/>
          <w:sz w:val="20"/>
          <w:szCs w:val="20"/>
          <w:lang w:val="fr-CA"/>
        </w:rPr>
        <w:t>été</w:t>
      </w:r>
      <w:r w:rsidR="001D073F" w:rsidRPr="00520416">
        <w:rPr>
          <w:rFonts w:ascii="Arial" w:hAnsi="Arial" w:cs="Arial"/>
          <w:b/>
          <w:sz w:val="20"/>
          <w:szCs w:val="20"/>
          <w:lang w:val="fr-CA"/>
        </w:rPr>
        <w:t xml:space="preserve"> rédigée selon les normes de </w:t>
      </w:r>
      <w:r w:rsidRPr="00520416">
        <w:rPr>
          <w:rFonts w:ascii="Arial" w:hAnsi="Arial" w:cs="Arial"/>
          <w:b/>
          <w:sz w:val="20"/>
          <w:szCs w:val="20"/>
          <w:lang w:val="fr-CA"/>
        </w:rPr>
        <w:t>mai 2019</w:t>
      </w:r>
      <w:r w:rsidR="00991A1A" w:rsidRPr="00520416">
        <w:rPr>
          <w:rFonts w:ascii="Arial" w:hAnsi="Arial" w:cs="Arial"/>
          <w:b/>
          <w:sz w:val="20"/>
          <w:szCs w:val="20"/>
          <w:lang w:val="fr-CA"/>
        </w:rPr>
        <w:t xml:space="preserve"> r.</w:t>
      </w:r>
    </w:p>
    <w:p w:rsidR="002078BF" w:rsidRPr="00520416" w:rsidRDefault="0004591C" w:rsidP="00991A1A">
      <w:pPr>
        <w:spacing w:line="240" w:lineRule="auto"/>
        <w:jc w:val="right"/>
        <w:rPr>
          <w:rFonts w:ascii="Arial" w:hAnsi="Arial" w:cs="Arial"/>
          <w:sz w:val="18"/>
          <w:szCs w:val="18"/>
          <w:lang w:val="fr-CA"/>
        </w:rPr>
      </w:pPr>
      <w:r w:rsidRPr="00520416">
        <w:rPr>
          <w:rFonts w:ascii="Arial" w:hAnsi="Arial" w:cs="Arial"/>
          <w:sz w:val="18"/>
          <w:szCs w:val="18"/>
          <w:lang w:val="fr-CA"/>
        </w:rPr>
        <w:t>Informa</w:t>
      </w:r>
      <w:r w:rsidR="001D073F" w:rsidRPr="00520416">
        <w:rPr>
          <w:rFonts w:ascii="Arial" w:hAnsi="Arial" w:cs="Arial"/>
          <w:sz w:val="18"/>
          <w:szCs w:val="18"/>
          <w:lang w:val="fr-CA"/>
        </w:rPr>
        <w:t xml:space="preserve">tions </w:t>
      </w:r>
      <w:r w:rsidR="00520416" w:rsidRPr="00520416">
        <w:rPr>
          <w:rFonts w:ascii="Arial" w:hAnsi="Arial" w:cs="Arial"/>
          <w:sz w:val="18"/>
          <w:szCs w:val="18"/>
          <w:lang w:val="fr-CA"/>
        </w:rPr>
        <w:t>complémentaires :</w:t>
      </w:r>
      <w:r w:rsidRPr="00520416">
        <w:rPr>
          <w:rFonts w:ascii="Arial" w:hAnsi="Arial" w:cs="Arial"/>
          <w:sz w:val="18"/>
          <w:szCs w:val="18"/>
          <w:lang w:val="fr-CA"/>
        </w:rPr>
        <w:t xml:space="preserve"> </w:t>
      </w:r>
      <w:hyperlink r:id="rId15" w:history="1">
        <w:r w:rsidRPr="00520416">
          <w:rPr>
            <w:rStyle w:val="Hyperlink"/>
            <w:rFonts w:ascii="Arial" w:hAnsi="Arial" w:cs="Arial"/>
            <w:sz w:val="18"/>
            <w:szCs w:val="18"/>
            <w:lang w:val="fr-CA"/>
          </w:rPr>
          <w:t>www.marma.com.pl</w:t>
        </w:r>
      </w:hyperlink>
      <w:r w:rsidRPr="00520416">
        <w:rPr>
          <w:rFonts w:ascii="Arial" w:hAnsi="Arial" w:cs="Arial"/>
          <w:sz w:val="18"/>
          <w:szCs w:val="18"/>
          <w:lang w:val="fr-CA"/>
        </w:rPr>
        <w:t xml:space="preserve"> i </w:t>
      </w:r>
      <w:hyperlink r:id="rId16" w:history="1">
        <w:r w:rsidRPr="00520416">
          <w:rPr>
            <w:rStyle w:val="Hyperlink"/>
            <w:rFonts w:ascii="Arial" w:hAnsi="Arial" w:cs="Arial"/>
            <w:sz w:val="18"/>
            <w:szCs w:val="18"/>
            <w:lang w:val="fr-CA"/>
          </w:rPr>
          <w:t>www.dachowa.com.pl</w:t>
        </w:r>
      </w:hyperlink>
      <w:r w:rsidRPr="00520416">
        <w:rPr>
          <w:rFonts w:ascii="Arial" w:hAnsi="Arial" w:cs="Arial"/>
          <w:sz w:val="18"/>
          <w:szCs w:val="18"/>
          <w:lang w:val="fr-CA"/>
        </w:rPr>
        <w:t xml:space="preserve"> .</w:t>
      </w:r>
    </w:p>
    <w:sectPr w:rsidR="002078BF" w:rsidRPr="00520416" w:rsidSect="006A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1F" w:rsidRDefault="0068521F" w:rsidP="00C80C3D">
      <w:pPr>
        <w:spacing w:after="0" w:line="240" w:lineRule="auto"/>
      </w:pPr>
      <w:r>
        <w:separator/>
      </w:r>
    </w:p>
  </w:endnote>
  <w:endnote w:type="continuationSeparator" w:id="0">
    <w:p w:rsidR="0068521F" w:rsidRDefault="0068521F" w:rsidP="00C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1F" w:rsidRDefault="0068521F" w:rsidP="00C80C3D">
      <w:pPr>
        <w:spacing w:after="0" w:line="240" w:lineRule="auto"/>
      </w:pPr>
      <w:r>
        <w:separator/>
      </w:r>
    </w:p>
  </w:footnote>
  <w:footnote w:type="continuationSeparator" w:id="0">
    <w:p w:rsidR="0068521F" w:rsidRDefault="0068521F" w:rsidP="00C8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0789"/>
    <w:multiLevelType w:val="hybridMultilevel"/>
    <w:tmpl w:val="880A8B3C"/>
    <w:lvl w:ilvl="0" w:tplc="12EA12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0FD1"/>
    <w:multiLevelType w:val="hybridMultilevel"/>
    <w:tmpl w:val="8272E6C0"/>
    <w:lvl w:ilvl="0" w:tplc="066C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49E"/>
    <w:multiLevelType w:val="hybridMultilevel"/>
    <w:tmpl w:val="AFF6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8"/>
    <w:rsid w:val="0004591C"/>
    <w:rsid w:val="000A095A"/>
    <w:rsid w:val="00100EFF"/>
    <w:rsid w:val="00124EEF"/>
    <w:rsid w:val="001423EF"/>
    <w:rsid w:val="001D073F"/>
    <w:rsid w:val="002078BF"/>
    <w:rsid w:val="002427A8"/>
    <w:rsid w:val="002D190E"/>
    <w:rsid w:val="002D2B24"/>
    <w:rsid w:val="002E0D7B"/>
    <w:rsid w:val="002F6732"/>
    <w:rsid w:val="00303DB5"/>
    <w:rsid w:val="00313A2A"/>
    <w:rsid w:val="003145AA"/>
    <w:rsid w:val="00322DC4"/>
    <w:rsid w:val="00343877"/>
    <w:rsid w:val="003B07E9"/>
    <w:rsid w:val="003D27DE"/>
    <w:rsid w:val="003D33CE"/>
    <w:rsid w:val="0044206D"/>
    <w:rsid w:val="00485243"/>
    <w:rsid w:val="004A001A"/>
    <w:rsid w:val="004A43FD"/>
    <w:rsid w:val="004C66D2"/>
    <w:rsid w:val="004D1564"/>
    <w:rsid w:val="00520416"/>
    <w:rsid w:val="00545F2E"/>
    <w:rsid w:val="00546D6C"/>
    <w:rsid w:val="00572655"/>
    <w:rsid w:val="00633D9D"/>
    <w:rsid w:val="0068521F"/>
    <w:rsid w:val="006A05BE"/>
    <w:rsid w:val="006F5984"/>
    <w:rsid w:val="007547AC"/>
    <w:rsid w:val="00761618"/>
    <w:rsid w:val="00770F32"/>
    <w:rsid w:val="00792061"/>
    <w:rsid w:val="007E514D"/>
    <w:rsid w:val="007F538D"/>
    <w:rsid w:val="00841E10"/>
    <w:rsid w:val="00940756"/>
    <w:rsid w:val="00991A1A"/>
    <w:rsid w:val="009E0FA0"/>
    <w:rsid w:val="009F0497"/>
    <w:rsid w:val="00A0357C"/>
    <w:rsid w:val="00A049A5"/>
    <w:rsid w:val="00A1399A"/>
    <w:rsid w:val="00A72F73"/>
    <w:rsid w:val="00AA1339"/>
    <w:rsid w:val="00B02E6B"/>
    <w:rsid w:val="00B468EF"/>
    <w:rsid w:val="00B53B38"/>
    <w:rsid w:val="00B91B33"/>
    <w:rsid w:val="00BC3206"/>
    <w:rsid w:val="00C177F9"/>
    <w:rsid w:val="00C26696"/>
    <w:rsid w:val="00C80C3D"/>
    <w:rsid w:val="00C811DE"/>
    <w:rsid w:val="00D00812"/>
    <w:rsid w:val="00D150EE"/>
    <w:rsid w:val="00D22316"/>
    <w:rsid w:val="00D34007"/>
    <w:rsid w:val="00D37B04"/>
    <w:rsid w:val="00DD44EE"/>
    <w:rsid w:val="00E019E9"/>
    <w:rsid w:val="00E37F07"/>
    <w:rsid w:val="00E53D0E"/>
    <w:rsid w:val="00E83163"/>
    <w:rsid w:val="00F06284"/>
    <w:rsid w:val="00F36D66"/>
    <w:rsid w:val="00FB0403"/>
    <w:rsid w:val="00FC2359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C2B3"/>
  <w15:docId w15:val="{AE022B73-A3E1-4A3F-A74B-18D76EA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538D"/>
    <w:rPr>
      <w:b/>
      <w:bCs/>
    </w:rPr>
  </w:style>
  <w:style w:type="paragraph" w:styleId="ListParagraph">
    <w:name w:val="List Paragraph"/>
    <w:basedOn w:val="Normal"/>
    <w:uiPriority w:val="34"/>
    <w:qFormat/>
    <w:rsid w:val="0057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9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C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C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C3D"/>
    <w:rPr>
      <w:vertAlign w:val="superscript"/>
    </w:rPr>
  </w:style>
  <w:style w:type="character" w:styleId="Hyperlink">
    <w:name w:val="Hyperlink"/>
    <w:basedOn w:val="DefaultParagraphFont"/>
    <w:rsid w:val="0004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Mircea Bratianu</cp:lastModifiedBy>
  <cp:revision>3</cp:revision>
  <cp:lastPrinted>2018-08-03T14:10:00Z</cp:lastPrinted>
  <dcterms:created xsi:type="dcterms:W3CDTF">2019-08-18T13:57:00Z</dcterms:created>
  <dcterms:modified xsi:type="dcterms:W3CDTF">2019-08-18T14:05:00Z</dcterms:modified>
</cp:coreProperties>
</file>